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rPr>
          <w:rFonts w:ascii="Times New Roman"/>
          <w:b w:val="0"/>
          <w:sz w:val="18"/>
        </w:rPr>
      </w:pPr>
    </w:p>
    <w:p>
      <w:pPr>
        <w:pStyle w:val="2"/>
        <w:spacing w:before="6"/>
        <w:ind w:left="4260" w:right="4020"/>
        <w:jc w:val="center"/>
      </w:pPr>
      <w:r>
        <w:t>福建省</w:t>
      </w:r>
      <w:r>
        <w:rPr>
          <w:rFonts w:hint="eastAsia"/>
          <w:lang w:eastAsia="zh-CN"/>
        </w:rPr>
        <w:t>及厦门市</w:t>
      </w:r>
      <w:r>
        <w:t>新能源科技产业促进会</w:t>
      </w:r>
    </w:p>
    <w:p>
      <w:pPr>
        <w:pStyle w:val="2"/>
        <w:spacing w:before="6"/>
        <w:ind w:left="4260" w:right="4020"/>
        <w:jc w:val="center"/>
      </w:pPr>
      <w:r>
        <w:t>服务明细</w:t>
      </w:r>
    </w:p>
    <w:p>
      <w:pPr>
        <w:spacing w:before="1" w:after="1" w:line="240" w:lineRule="auto"/>
        <w:rPr>
          <w:sz w:val="11"/>
        </w:rPr>
      </w:pPr>
    </w:p>
    <w:tbl>
      <w:tblPr>
        <w:tblStyle w:val="3"/>
        <w:tblpPr w:leftFromText="180" w:rightFromText="180" w:vertAnchor="text" w:horzAnchor="page" w:tblpX="1179" w:tblpY="204"/>
        <w:tblOverlap w:val="never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95"/>
        <w:gridCol w:w="6000"/>
        <w:gridCol w:w="4335"/>
        <w:gridCol w:w="261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1395" w:type="dxa"/>
          </w:tcPr>
          <w:p>
            <w:pPr>
              <w:pStyle w:val="7"/>
              <w:spacing w:before="59"/>
              <w:jc w:val="center"/>
              <w:rPr>
                <w:b/>
                <w:sz w:val="24"/>
              </w:rPr>
            </w:pPr>
            <w:bookmarkStart w:id="0" w:name="_GoBack"/>
            <w:bookmarkEnd w:id="0"/>
            <w:r>
              <w:rPr>
                <w:b/>
                <w:sz w:val="24"/>
              </w:rPr>
              <w:t>部门</w:t>
            </w:r>
          </w:p>
        </w:tc>
        <w:tc>
          <w:tcPr>
            <w:tcW w:w="6000" w:type="dxa"/>
          </w:tcPr>
          <w:p>
            <w:pPr>
              <w:pStyle w:val="7"/>
              <w:spacing w:before="59"/>
              <w:ind w:left="145" w:right="1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服务内容</w:t>
            </w:r>
          </w:p>
        </w:tc>
        <w:tc>
          <w:tcPr>
            <w:tcW w:w="4335" w:type="dxa"/>
          </w:tcPr>
          <w:p>
            <w:pPr>
              <w:pStyle w:val="7"/>
              <w:spacing w:before="59"/>
              <w:ind w:left="88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合作单位</w:t>
            </w:r>
          </w:p>
        </w:tc>
        <w:tc>
          <w:tcPr>
            <w:tcW w:w="2610" w:type="dxa"/>
          </w:tcPr>
          <w:p>
            <w:pPr>
              <w:pStyle w:val="7"/>
              <w:spacing w:before="59"/>
              <w:ind w:left="106" w:right="-29"/>
              <w:jc w:val="center"/>
              <w:rPr>
                <w:b/>
                <w:sz w:val="24"/>
              </w:rPr>
            </w:pPr>
            <w:r>
              <w:rPr>
                <w:b/>
                <w:spacing w:val="-3"/>
                <w:sz w:val="24"/>
              </w:rPr>
              <w:t>联系方式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395" w:type="dxa"/>
            <w:vMerge w:val="restart"/>
          </w:tcPr>
          <w:p>
            <w:pPr>
              <w:pStyle w:val="7"/>
              <w:jc w:val="center"/>
              <w:rPr>
                <w:sz w:val="32"/>
              </w:rPr>
            </w:pPr>
          </w:p>
          <w:p>
            <w:pPr>
              <w:pStyle w:val="7"/>
              <w:jc w:val="center"/>
              <w:rPr>
                <w:sz w:val="32"/>
              </w:rPr>
            </w:pPr>
          </w:p>
          <w:p>
            <w:pPr>
              <w:pStyle w:val="7"/>
              <w:spacing w:before="10"/>
              <w:jc w:val="center"/>
              <w:rPr>
                <w:sz w:val="21"/>
              </w:rPr>
            </w:pPr>
          </w:p>
          <w:p>
            <w:pPr>
              <w:pStyle w:val="7"/>
              <w:spacing w:line="194" w:lineRule="auto"/>
              <w:ind w:righ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会员部</w:t>
            </w:r>
          </w:p>
          <w:p>
            <w:pPr>
              <w:pStyle w:val="7"/>
              <w:spacing w:line="194" w:lineRule="auto"/>
              <w:ind w:righ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商务部</w:t>
            </w:r>
          </w:p>
        </w:tc>
        <w:tc>
          <w:tcPr>
            <w:tcW w:w="6000" w:type="dxa"/>
            <w:vMerge w:val="restart"/>
          </w:tcPr>
          <w:p>
            <w:pPr>
              <w:pStyle w:val="7"/>
              <w:spacing w:before="3"/>
              <w:rPr>
                <w:sz w:val="20"/>
              </w:rPr>
            </w:pPr>
          </w:p>
          <w:p>
            <w:pPr>
              <w:pStyle w:val="7"/>
              <w:spacing w:line="194" w:lineRule="auto"/>
              <w:ind w:left="108" w:right="97"/>
              <w:rPr>
                <w:sz w:val="24"/>
              </w:rPr>
            </w:pPr>
            <w:r>
              <w:rPr>
                <w:sz w:val="24"/>
              </w:rPr>
              <w:t>智慧能源建设、多能互补特色小镇、能源智慧校园建设</w:t>
            </w:r>
          </w:p>
        </w:tc>
        <w:tc>
          <w:tcPr>
            <w:tcW w:w="4335" w:type="dxa"/>
          </w:tcPr>
          <w:p>
            <w:pPr>
              <w:pStyle w:val="7"/>
              <w:spacing w:before="84" w:line="194" w:lineRule="auto"/>
              <w:ind w:right="97" w:firstLine="240" w:firstLineChars="100"/>
              <w:jc w:val="center"/>
              <w:rPr>
                <w:sz w:val="24"/>
              </w:rPr>
            </w:pPr>
            <w:r>
              <w:rPr>
                <w:sz w:val="24"/>
              </w:rPr>
              <w:t>国家电力投资集团有限公司福建公司</w:t>
            </w:r>
          </w:p>
        </w:tc>
        <w:tc>
          <w:tcPr>
            <w:tcW w:w="2610" w:type="dxa"/>
            <w:vMerge w:val="restart"/>
          </w:tcPr>
          <w:p>
            <w:pPr>
              <w:pStyle w:val="7"/>
              <w:spacing w:before="225" w:line="194" w:lineRule="auto"/>
              <w:ind w:left="351" w:right="312" w:firstLine="379"/>
              <w:jc w:val="left"/>
              <w:rPr>
                <w:sz w:val="24"/>
              </w:rPr>
            </w:pPr>
            <w:r>
              <w:rPr>
                <w:sz w:val="24"/>
              </w:rPr>
              <w:t>孙 闽 兆 : 18060780325</w:t>
            </w:r>
          </w:p>
          <w:p>
            <w:pPr>
              <w:pStyle w:val="7"/>
              <w:spacing w:before="13"/>
              <w:jc w:val="left"/>
              <w:rPr>
                <w:sz w:val="19"/>
              </w:rPr>
            </w:pPr>
          </w:p>
          <w:p>
            <w:pPr>
              <w:pStyle w:val="7"/>
              <w:spacing w:line="194" w:lineRule="auto"/>
              <w:ind w:left="351" w:right="312" w:firstLine="499"/>
              <w:jc w:val="left"/>
              <w:rPr>
                <w:sz w:val="24"/>
              </w:rPr>
            </w:pPr>
            <w:r>
              <w:rPr>
                <w:sz w:val="24"/>
              </w:rPr>
              <w:t>汤 浩 : 15306021079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395" w:type="dxa"/>
            <w:vMerge w:val="continue"/>
            <w:tcBorders>
              <w:top w:val="nil"/>
            </w:tcBorders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60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35" w:type="dxa"/>
          </w:tcPr>
          <w:p>
            <w:pPr>
              <w:pStyle w:val="7"/>
              <w:spacing w:before="74"/>
              <w:ind w:firstLine="240" w:firstLineChars="100"/>
              <w:jc w:val="center"/>
              <w:rPr>
                <w:sz w:val="24"/>
              </w:rPr>
            </w:pPr>
            <w:r>
              <w:rPr>
                <w:sz w:val="24"/>
              </w:rPr>
              <w:t>中核国贸资本管理有限公司</w:t>
            </w:r>
          </w:p>
        </w:tc>
        <w:tc>
          <w:tcPr>
            <w:tcW w:w="2610" w:type="dxa"/>
            <w:vMerge w:val="continue"/>
            <w:tcBorders>
              <w:top w:val="nil"/>
            </w:tcBorders>
          </w:tcPr>
          <w:p>
            <w:pPr>
              <w:jc w:val="left"/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395" w:type="dxa"/>
            <w:vMerge w:val="continue"/>
            <w:tcBorders>
              <w:top w:val="nil"/>
            </w:tcBorders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6000" w:type="dxa"/>
            <w:vMerge w:val="restart"/>
          </w:tcPr>
          <w:p>
            <w:pPr>
              <w:pStyle w:val="7"/>
              <w:jc w:val="center"/>
              <w:rPr>
                <w:sz w:val="24"/>
              </w:rPr>
            </w:pPr>
            <w:r>
              <w:rPr>
                <w:sz w:val="24"/>
              </w:rPr>
              <w:t>园区建设、产业招商、政策、资本、技术</w:t>
            </w:r>
          </w:p>
        </w:tc>
        <w:tc>
          <w:tcPr>
            <w:tcW w:w="4335" w:type="dxa"/>
          </w:tcPr>
          <w:p>
            <w:pPr>
              <w:pStyle w:val="7"/>
              <w:spacing w:before="87" w:line="194" w:lineRule="auto"/>
              <w:ind w:right="97" w:firstLine="240" w:firstLineChars="100"/>
              <w:jc w:val="center"/>
              <w:rPr>
                <w:sz w:val="24"/>
              </w:rPr>
            </w:pPr>
            <w:r>
              <w:rPr>
                <w:sz w:val="24"/>
              </w:rPr>
              <w:t>福建国贸智谷投资发展有限公司</w:t>
            </w:r>
          </w:p>
        </w:tc>
        <w:tc>
          <w:tcPr>
            <w:tcW w:w="2610" w:type="dxa"/>
            <w:vMerge w:val="continue"/>
            <w:tcBorders>
              <w:top w:val="nil"/>
            </w:tcBorders>
          </w:tcPr>
          <w:p>
            <w:pPr>
              <w:jc w:val="left"/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1395" w:type="dxa"/>
            <w:vMerge w:val="continue"/>
            <w:tcBorders>
              <w:top w:val="nil"/>
            </w:tcBorders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60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35" w:type="dxa"/>
          </w:tcPr>
          <w:p>
            <w:pPr>
              <w:pStyle w:val="7"/>
              <w:spacing w:before="118"/>
              <w:ind w:firstLine="240" w:firstLineChars="100"/>
              <w:jc w:val="center"/>
              <w:rPr>
                <w:sz w:val="24"/>
              </w:rPr>
            </w:pPr>
            <w:r>
              <w:rPr>
                <w:sz w:val="24"/>
              </w:rPr>
              <w:t>招商局漳州开发区有限公司</w:t>
            </w:r>
          </w:p>
        </w:tc>
        <w:tc>
          <w:tcPr>
            <w:tcW w:w="2610" w:type="dxa"/>
            <w:vMerge w:val="continue"/>
            <w:tcBorders>
              <w:top w:val="nil"/>
            </w:tcBorders>
          </w:tcPr>
          <w:p>
            <w:pPr>
              <w:jc w:val="left"/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1" w:hRule="atLeast"/>
        </w:trPr>
        <w:tc>
          <w:tcPr>
            <w:tcW w:w="1395" w:type="dxa"/>
            <w:vMerge w:val="continue"/>
            <w:tcBorders>
              <w:top w:val="nil"/>
            </w:tcBorders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6000" w:type="dxa"/>
          </w:tcPr>
          <w:p>
            <w:pPr>
              <w:pStyle w:val="7"/>
              <w:spacing w:before="236"/>
              <w:ind w:left="145" w:right="139"/>
              <w:jc w:val="center"/>
              <w:rPr>
                <w:sz w:val="24"/>
              </w:rPr>
            </w:pPr>
          </w:p>
          <w:p>
            <w:pPr>
              <w:pStyle w:val="7"/>
              <w:spacing w:before="236"/>
              <w:ind w:left="145" w:right="139"/>
              <w:jc w:val="center"/>
              <w:rPr>
                <w:sz w:val="24"/>
              </w:rPr>
            </w:pPr>
            <w:r>
              <w:rPr>
                <w:sz w:val="24"/>
              </w:rPr>
              <w:t>会员吸纳</w:t>
            </w:r>
          </w:p>
        </w:tc>
        <w:tc>
          <w:tcPr>
            <w:tcW w:w="4335" w:type="dxa"/>
          </w:tcPr>
          <w:p>
            <w:pPr>
              <w:pStyle w:val="7"/>
              <w:spacing w:before="236"/>
              <w:ind w:left="88" w:right="79"/>
              <w:jc w:val="center"/>
              <w:rPr>
                <w:sz w:val="24"/>
              </w:rPr>
            </w:pPr>
          </w:p>
          <w:p>
            <w:pPr>
              <w:pStyle w:val="7"/>
              <w:spacing w:before="236"/>
              <w:ind w:left="88" w:right="79"/>
              <w:jc w:val="center"/>
              <w:rPr>
                <w:sz w:val="24"/>
              </w:rPr>
            </w:pPr>
            <w:r>
              <w:rPr>
                <w:sz w:val="24"/>
              </w:rPr>
              <w:t>会员部</w:t>
            </w:r>
          </w:p>
        </w:tc>
        <w:tc>
          <w:tcPr>
            <w:tcW w:w="2610" w:type="dxa"/>
          </w:tcPr>
          <w:p>
            <w:pPr>
              <w:pStyle w:val="7"/>
              <w:spacing w:before="116" w:line="194" w:lineRule="auto"/>
              <w:ind w:left="351" w:right="312" w:firstLine="379"/>
              <w:jc w:val="left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陈远明：</w:t>
            </w:r>
          </w:p>
          <w:p>
            <w:pPr>
              <w:pStyle w:val="7"/>
              <w:spacing w:before="116" w:line="194" w:lineRule="auto"/>
              <w:ind w:right="312" w:firstLine="480" w:firstLineChars="200"/>
              <w:jc w:val="left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18559299981</w:t>
            </w:r>
          </w:p>
          <w:p>
            <w:pPr>
              <w:pStyle w:val="7"/>
              <w:spacing w:before="116" w:line="194" w:lineRule="auto"/>
              <w:ind w:left="351" w:right="312" w:firstLine="379"/>
              <w:jc w:val="left"/>
              <w:rPr>
                <w:sz w:val="24"/>
              </w:rPr>
            </w:pPr>
            <w:r>
              <w:rPr>
                <w:sz w:val="24"/>
              </w:rPr>
              <w:t>朱 敏 婕 :</w:t>
            </w:r>
          </w:p>
          <w:p>
            <w:pPr>
              <w:pStyle w:val="7"/>
              <w:spacing w:before="116" w:line="194" w:lineRule="auto"/>
              <w:ind w:right="312" w:firstLine="480" w:firstLineChars="200"/>
              <w:jc w:val="left"/>
              <w:rPr>
                <w:sz w:val="24"/>
              </w:rPr>
            </w:pPr>
            <w:r>
              <w:rPr>
                <w:sz w:val="24"/>
              </w:rPr>
              <w:t>15880210261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395" w:type="dxa"/>
            <w:vMerge w:val="restart"/>
          </w:tcPr>
          <w:p>
            <w:pPr>
              <w:pStyle w:val="7"/>
              <w:jc w:val="center"/>
              <w:rPr>
                <w:sz w:val="32"/>
              </w:rPr>
            </w:pPr>
          </w:p>
          <w:p>
            <w:pPr>
              <w:pStyle w:val="7"/>
              <w:spacing w:before="8"/>
              <w:jc w:val="center"/>
              <w:rPr>
                <w:sz w:val="17"/>
              </w:rPr>
            </w:pPr>
          </w:p>
          <w:p>
            <w:pPr>
              <w:pStyle w:val="7"/>
              <w:spacing w:line="194" w:lineRule="auto"/>
              <w:ind w:righ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信息咨询部</w:t>
            </w:r>
          </w:p>
        </w:tc>
        <w:tc>
          <w:tcPr>
            <w:tcW w:w="6000" w:type="dxa"/>
          </w:tcPr>
          <w:p>
            <w:pPr>
              <w:pStyle w:val="7"/>
              <w:spacing w:before="153" w:line="194" w:lineRule="auto"/>
              <w:ind w:left="2565" w:right="157" w:hanging="2400"/>
              <w:rPr>
                <w:sz w:val="24"/>
              </w:rPr>
            </w:pPr>
            <w:r>
              <w:rPr>
                <w:sz w:val="24"/>
              </w:rPr>
              <w:t>智能制造云、软件开发云上云补贴项目申报（厦门）</w:t>
            </w:r>
          </w:p>
        </w:tc>
        <w:tc>
          <w:tcPr>
            <w:tcW w:w="4335" w:type="dxa"/>
          </w:tcPr>
          <w:p>
            <w:pPr>
              <w:pStyle w:val="7"/>
              <w:spacing w:before="93" w:line="401" w:lineRule="exact"/>
              <w:ind w:left="88" w:right="79"/>
              <w:jc w:val="center"/>
              <w:rPr>
                <w:sz w:val="24"/>
              </w:rPr>
            </w:pPr>
            <w:r>
              <w:rPr>
                <w:sz w:val="24"/>
              </w:rPr>
              <w:t>华为云授权中心（厦门碧谷科技）</w:t>
            </w:r>
          </w:p>
          <w:p>
            <w:pPr>
              <w:pStyle w:val="7"/>
              <w:spacing w:line="401" w:lineRule="exact"/>
              <w:ind w:left="88" w:right="79"/>
              <w:jc w:val="center"/>
              <w:rPr>
                <w:sz w:val="24"/>
              </w:rPr>
            </w:pPr>
          </w:p>
        </w:tc>
        <w:tc>
          <w:tcPr>
            <w:tcW w:w="2610" w:type="dxa"/>
            <w:vMerge w:val="restart"/>
          </w:tcPr>
          <w:p>
            <w:pPr>
              <w:pStyle w:val="7"/>
              <w:spacing w:before="192" w:line="194" w:lineRule="auto"/>
              <w:ind w:left="351" w:right="312" w:firstLine="499"/>
              <w:jc w:val="left"/>
              <w:rPr>
                <w:sz w:val="24"/>
              </w:rPr>
            </w:pPr>
            <w:r>
              <w:rPr>
                <w:sz w:val="24"/>
              </w:rPr>
              <w:t>汤 浩 : 15306021079</w:t>
            </w:r>
          </w:p>
          <w:p>
            <w:pPr>
              <w:pStyle w:val="7"/>
              <w:spacing w:before="12"/>
              <w:jc w:val="left"/>
              <w:rPr>
                <w:sz w:val="19"/>
              </w:rPr>
            </w:pPr>
          </w:p>
          <w:p>
            <w:pPr>
              <w:pStyle w:val="7"/>
              <w:spacing w:before="1" w:line="194" w:lineRule="auto"/>
              <w:ind w:left="351" w:right="312" w:firstLine="379"/>
              <w:jc w:val="left"/>
              <w:rPr>
                <w:sz w:val="24"/>
              </w:rPr>
            </w:pPr>
            <w:r>
              <w:rPr>
                <w:sz w:val="24"/>
              </w:rPr>
              <w:t>朱 敏 婕 : 15880210261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139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0" w:type="dxa"/>
          </w:tcPr>
          <w:p>
            <w:pPr>
              <w:pStyle w:val="7"/>
              <w:spacing w:before="204"/>
              <w:ind w:right="139"/>
              <w:jc w:val="center"/>
              <w:rPr>
                <w:sz w:val="24"/>
              </w:rPr>
            </w:pPr>
            <w:r>
              <w:rPr>
                <w:sz w:val="24"/>
              </w:rPr>
              <w:t>中国两化融合管理体系贯标申报（厦门）</w:t>
            </w:r>
          </w:p>
        </w:tc>
        <w:tc>
          <w:tcPr>
            <w:tcW w:w="4335" w:type="dxa"/>
          </w:tcPr>
          <w:p>
            <w:pPr>
              <w:pStyle w:val="7"/>
              <w:spacing w:before="204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厦门格伦视觉信息科技</w:t>
            </w:r>
          </w:p>
        </w:tc>
        <w:tc>
          <w:tcPr>
            <w:tcW w:w="261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139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0" w:type="dxa"/>
          </w:tcPr>
          <w:p>
            <w:pPr>
              <w:pStyle w:val="7"/>
              <w:spacing w:before="126"/>
              <w:ind w:right="139"/>
              <w:jc w:val="center"/>
              <w:rPr>
                <w:sz w:val="24"/>
              </w:rPr>
            </w:pPr>
            <w:r>
              <w:rPr>
                <w:sz w:val="24"/>
              </w:rPr>
              <w:t>政府政策发布、解读、产业信息咨询等</w:t>
            </w:r>
          </w:p>
        </w:tc>
        <w:tc>
          <w:tcPr>
            <w:tcW w:w="4335" w:type="dxa"/>
          </w:tcPr>
          <w:p>
            <w:pPr>
              <w:pStyle w:val="7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61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footerReference r:id="rId3" w:type="default"/>
          <w:type w:val="continuous"/>
          <w:pgSz w:w="16840" w:h="11910" w:orient="landscape"/>
          <w:pgMar w:top="1100" w:right="1320" w:bottom="1220" w:left="1080" w:header="720" w:footer="1033" w:gutter="0"/>
          <w:pgNumType w:start="1"/>
        </w:sect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spacing w:before="4"/>
        <w:rPr>
          <w:rFonts w:ascii="Times New Roman"/>
          <w:b w:val="0"/>
          <w:sz w:val="20"/>
        </w:rPr>
      </w:pPr>
    </w:p>
    <w:tbl>
      <w:tblPr>
        <w:tblStyle w:val="3"/>
        <w:tblW w:w="0" w:type="auto"/>
        <w:tblInd w:w="12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0"/>
        <w:gridCol w:w="6010"/>
        <w:gridCol w:w="4365"/>
        <w:gridCol w:w="25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7" w:hRule="atLeast"/>
        </w:trPr>
        <w:tc>
          <w:tcPr>
            <w:tcW w:w="960" w:type="dxa"/>
            <w:vMerge w:val="restart"/>
          </w:tcPr>
          <w:p>
            <w:pPr>
              <w:pStyle w:val="7"/>
              <w:rPr>
                <w:rFonts w:ascii="Times New Roman"/>
                <w:sz w:val="25"/>
              </w:rPr>
            </w:pPr>
          </w:p>
          <w:p>
            <w:pPr>
              <w:pStyle w:val="7"/>
              <w:spacing w:line="194" w:lineRule="auto"/>
              <w:ind w:left="120" w:right="107"/>
              <w:rPr>
                <w:b/>
                <w:sz w:val="24"/>
              </w:rPr>
            </w:pPr>
          </w:p>
          <w:p>
            <w:pPr>
              <w:pStyle w:val="7"/>
              <w:spacing w:line="194" w:lineRule="auto"/>
              <w:ind w:left="120" w:right="107"/>
              <w:rPr>
                <w:b/>
                <w:sz w:val="24"/>
              </w:rPr>
            </w:pPr>
          </w:p>
          <w:p>
            <w:pPr>
              <w:pStyle w:val="7"/>
              <w:spacing w:line="194" w:lineRule="auto"/>
              <w:ind w:left="120" w:right="107"/>
              <w:rPr>
                <w:b/>
                <w:sz w:val="24"/>
              </w:rPr>
            </w:pPr>
          </w:p>
          <w:p>
            <w:pPr>
              <w:pStyle w:val="7"/>
              <w:spacing w:line="194" w:lineRule="auto"/>
              <w:ind w:left="120" w:right="107"/>
              <w:rPr>
                <w:b/>
                <w:sz w:val="24"/>
              </w:rPr>
            </w:pPr>
          </w:p>
          <w:p>
            <w:pPr>
              <w:pStyle w:val="7"/>
              <w:spacing w:line="194" w:lineRule="auto"/>
              <w:ind w:left="120" w:right="107"/>
              <w:rPr>
                <w:b/>
                <w:sz w:val="24"/>
              </w:rPr>
            </w:pPr>
          </w:p>
          <w:p>
            <w:pPr>
              <w:pStyle w:val="7"/>
              <w:spacing w:line="194" w:lineRule="auto"/>
              <w:ind w:left="120" w:right="107"/>
              <w:rPr>
                <w:b/>
                <w:sz w:val="24"/>
              </w:rPr>
            </w:pPr>
          </w:p>
          <w:p>
            <w:pPr>
              <w:pStyle w:val="7"/>
              <w:spacing w:line="194" w:lineRule="auto"/>
              <w:ind w:left="120" w:right="107"/>
              <w:rPr>
                <w:b/>
                <w:sz w:val="24"/>
              </w:rPr>
            </w:pPr>
          </w:p>
          <w:p>
            <w:pPr>
              <w:pStyle w:val="7"/>
              <w:spacing w:line="194" w:lineRule="auto"/>
              <w:ind w:left="120" w:right="107"/>
              <w:rPr>
                <w:b/>
                <w:sz w:val="24"/>
              </w:rPr>
            </w:pPr>
          </w:p>
          <w:p>
            <w:pPr>
              <w:pStyle w:val="7"/>
              <w:spacing w:line="194" w:lineRule="auto"/>
              <w:ind w:left="120" w:right="107"/>
              <w:rPr>
                <w:b/>
                <w:sz w:val="24"/>
              </w:rPr>
            </w:pPr>
          </w:p>
          <w:p>
            <w:pPr>
              <w:pStyle w:val="7"/>
              <w:spacing w:line="194" w:lineRule="auto"/>
              <w:ind w:left="120" w:right="107"/>
              <w:rPr>
                <w:b/>
                <w:sz w:val="24"/>
              </w:rPr>
            </w:pPr>
            <w:r>
              <w:rPr>
                <w:b/>
                <w:sz w:val="24"/>
              </w:rPr>
              <w:t>金融服务中心</w:t>
            </w:r>
          </w:p>
        </w:tc>
        <w:tc>
          <w:tcPr>
            <w:tcW w:w="6010" w:type="dxa"/>
          </w:tcPr>
          <w:p>
            <w:pPr>
              <w:pStyle w:val="7"/>
              <w:spacing w:before="255"/>
              <w:ind w:right="139"/>
              <w:jc w:val="center"/>
              <w:rPr>
                <w:sz w:val="24"/>
              </w:rPr>
            </w:pPr>
            <w:r>
              <w:rPr>
                <w:sz w:val="24"/>
              </w:rPr>
              <w:t>融资配套</w:t>
            </w:r>
          </w:p>
        </w:tc>
        <w:tc>
          <w:tcPr>
            <w:tcW w:w="4365" w:type="dxa"/>
          </w:tcPr>
          <w:p>
            <w:pPr>
              <w:pStyle w:val="7"/>
              <w:spacing w:before="255"/>
              <w:jc w:val="center"/>
              <w:rPr>
                <w:sz w:val="24"/>
              </w:rPr>
            </w:pPr>
            <w:r>
              <w:rPr>
                <w:sz w:val="24"/>
              </w:rPr>
              <w:t>厦门幽趣信息咨询有限公司</w:t>
            </w:r>
          </w:p>
        </w:tc>
        <w:tc>
          <w:tcPr>
            <w:tcW w:w="2580" w:type="dxa"/>
            <w:vMerge w:val="restart"/>
          </w:tcPr>
          <w:p>
            <w:pPr>
              <w:pStyle w:val="7"/>
              <w:spacing w:before="14" w:line="354" w:lineRule="exact"/>
              <w:ind w:left="317" w:right="311"/>
              <w:jc w:val="center"/>
              <w:rPr>
                <w:sz w:val="24"/>
              </w:rPr>
            </w:pPr>
          </w:p>
          <w:p>
            <w:pPr>
              <w:pStyle w:val="7"/>
              <w:spacing w:before="14" w:line="354" w:lineRule="exact"/>
              <w:ind w:left="317" w:right="311"/>
              <w:jc w:val="center"/>
              <w:rPr>
                <w:sz w:val="24"/>
              </w:rPr>
            </w:pPr>
          </w:p>
          <w:p>
            <w:pPr>
              <w:pStyle w:val="7"/>
              <w:spacing w:before="14" w:line="354" w:lineRule="exact"/>
              <w:ind w:left="317" w:right="311"/>
              <w:jc w:val="center"/>
              <w:rPr>
                <w:sz w:val="24"/>
              </w:rPr>
            </w:pPr>
          </w:p>
          <w:p>
            <w:pPr>
              <w:pStyle w:val="7"/>
              <w:spacing w:before="14" w:line="354" w:lineRule="exact"/>
              <w:ind w:left="317" w:right="311"/>
              <w:jc w:val="center"/>
              <w:rPr>
                <w:sz w:val="24"/>
              </w:rPr>
            </w:pPr>
          </w:p>
          <w:p>
            <w:pPr>
              <w:pStyle w:val="7"/>
              <w:spacing w:before="14" w:line="354" w:lineRule="exact"/>
              <w:ind w:left="317" w:right="311"/>
              <w:jc w:val="center"/>
              <w:rPr>
                <w:sz w:val="24"/>
              </w:rPr>
            </w:pPr>
          </w:p>
          <w:p>
            <w:pPr>
              <w:pStyle w:val="7"/>
              <w:spacing w:before="14" w:line="354" w:lineRule="exact"/>
              <w:ind w:left="317" w:right="311"/>
              <w:jc w:val="center"/>
              <w:rPr>
                <w:sz w:val="24"/>
              </w:rPr>
            </w:pPr>
          </w:p>
          <w:p>
            <w:pPr>
              <w:pStyle w:val="7"/>
              <w:spacing w:before="14" w:line="354" w:lineRule="exact"/>
              <w:ind w:left="317" w:right="311"/>
              <w:jc w:val="center"/>
              <w:rPr>
                <w:sz w:val="24"/>
              </w:rPr>
            </w:pPr>
          </w:p>
          <w:p>
            <w:pPr>
              <w:pStyle w:val="7"/>
              <w:spacing w:before="14" w:line="354" w:lineRule="exact"/>
              <w:ind w:left="317" w:right="311"/>
              <w:jc w:val="center"/>
              <w:rPr>
                <w:sz w:val="24"/>
              </w:rPr>
            </w:pPr>
          </w:p>
          <w:p>
            <w:pPr>
              <w:pStyle w:val="7"/>
              <w:spacing w:before="14" w:line="354" w:lineRule="exact"/>
              <w:ind w:left="317" w:right="311"/>
              <w:jc w:val="center"/>
              <w:rPr>
                <w:sz w:val="24"/>
              </w:rPr>
            </w:pPr>
            <w:r>
              <w:rPr>
                <w:sz w:val="24"/>
              </w:rPr>
              <w:t>汤浩:</w:t>
            </w:r>
          </w:p>
          <w:p>
            <w:pPr>
              <w:pStyle w:val="7"/>
              <w:spacing w:line="429" w:lineRule="exact"/>
              <w:ind w:left="331" w:right="311"/>
              <w:jc w:val="center"/>
              <w:rPr>
                <w:sz w:val="24"/>
              </w:rPr>
            </w:pPr>
            <w:r>
              <w:rPr>
                <w:sz w:val="24"/>
              </w:rPr>
              <w:t>15306021079</w:t>
            </w:r>
          </w:p>
          <w:p>
            <w:pPr>
              <w:pStyle w:val="7"/>
              <w:spacing w:before="280" w:line="194" w:lineRule="auto"/>
              <w:ind w:right="312"/>
              <w:jc w:val="center"/>
              <w:rPr>
                <w:sz w:val="24"/>
              </w:rPr>
            </w:pPr>
            <w:r>
              <w:rPr>
                <w:sz w:val="24"/>
              </w:rPr>
              <w:t>郑 艳 群 : 18605965635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960" w:type="dxa"/>
            <w:vMerge w:val="continue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6010" w:type="dxa"/>
            <w:tcBorders>
              <w:bottom w:val="nil"/>
            </w:tcBorders>
          </w:tcPr>
          <w:p>
            <w:pPr>
              <w:pStyle w:val="7"/>
              <w:spacing w:before="120" w:line="381" w:lineRule="exact"/>
              <w:jc w:val="center"/>
              <w:rPr>
                <w:sz w:val="24"/>
              </w:rPr>
            </w:pPr>
            <w:r>
              <w:rPr>
                <w:sz w:val="24"/>
              </w:rPr>
              <w:t>验资，审计、清算，高新验收专审、税收审计，税</w:t>
            </w:r>
          </w:p>
        </w:tc>
        <w:tc>
          <w:tcPr>
            <w:tcW w:w="4365" w:type="dxa"/>
            <w:vMerge w:val="restart"/>
          </w:tcPr>
          <w:p>
            <w:pPr>
              <w:pStyle w:val="7"/>
              <w:spacing w:before="111"/>
              <w:jc w:val="center"/>
              <w:rPr>
                <w:sz w:val="24"/>
              </w:rPr>
            </w:pPr>
          </w:p>
          <w:p>
            <w:pPr>
              <w:pStyle w:val="7"/>
              <w:spacing w:before="111"/>
              <w:jc w:val="center"/>
              <w:rPr>
                <w:sz w:val="24"/>
              </w:rPr>
            </w:pPr>
          </w:p>
          <w:p>
            <w:pPr>
              <w:pStyle w:val="7"/>
              <w:spacing w:before="111"/>
              <w:jc w:val="center"/>
              <w:rPr>
                <w:sz w:val="24"/>
              </w:rPr>
            </w:pPr>
            <w:r>
              <w:rPr>
                <w:sz w:val="24"/>
              </w:rPr>
              <w:t>利安达会计师事务所</w:t>
            </w:r>
          </w:p>
        </w:tc>
        <w:tc>
          <w:tcPr>
            <w:tcW w:w="2580" w:type="dxa"/>
            <w:vMerge w:val="continue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960" w:type="dxa"/>
            <w:vMerge w:val="continue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>
            <w:pPr>
              <w:pStyle w:val="7"/>
              <w:spacing w:line="3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收咨询，税收筹划、税收鉴证、上市规划，上市疏</w:t>
            </w:r>
          </w:p>
        </w:tc>
        <w:tc>
          <w:tcPr>
            <w:tcW w:w="4365" w:type="dxa"/>
            <w:vMerge w:val="continue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580" w:type="dxa"/>
            <w:vMerge w:val="continue"/>
          </w:tcPr>
          <w:p>
            <w:pPr>
              <w:pStyle w:val="7"/>
              <w:spacing w:before="14" w:line="354" w:lineRule="exact"/>
              <w:ind w:left="317" w:right="311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</w:trPr>
        <w:tc>
          <w:tcPr>
            <w:tcW w:w="960" w:type="dxa"/>
            <w:vMerge w:val="continue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>
            <w:pPr>
              <w:pStyle w:val="7"/>
              <w:spacing w:line="332" w:lineRule="exact"/>
              <w:jc w:val="center"/>
              <w:rPr>
                <w:sz w:val="24"/>
              </w:rPr>
            </w:pPr>
            <w:r>
              <w:rPr>
                <w:spacing w:val="3"/>
                <w:sz w:val="24"/>
              </w:rPr>
              <w:t>理，尽调报告，重组并购规划、财务规范，内部控</w:t>
            </w:r>
          </w:p>
          <w:p>
            <w:pPr>
              <w:pStyle w:val="7"/>
              <w:spacing w:line="340" w:lineRule="exact"/>
              <w:jc w:val="center"/>
              <w:rPr>
                <w:sz w:val="24"/>
              </w:rPr>
            </w:pPr>
            <w:r>
              <w:rPr>
                <w:spacing w:val="3"/>
                <w:sz w:val="24"/>
              </w:rPr>
              <w:t>制，企业管理，股权激励、投资咨询、高新企业，</w:t>
            </w:r>
          </w:p>
        </w:tc>
        <w:tc>
          <w:tcPr>
            <w:tcW w:w="4365" w:type="dxa"/>
            <w:vMerge w:val="continue"/>
          </w:tcPr>
          <w:p>
            <w:pPr>
              <w:pStyle w:val="7"/>
              <w:spacing w:before="111"/>
              <w:jc w:val="center"/>
              <w:rPr>
                <w:sz w:val="24"/>
              </w:rPr>
            </w:pPr>
          </w:p>
        </w:tc>
        <w:tc>
          <w:tcPr>
            <w:tcW w:w="2580" w:type="dxa"/>
            <w:vMerge w:val="continue"/>
          </w:tcPr>
          <w:p>
            <w:pPr>
              <w:pStyle w:val="7"/>
              <w:spacing w:line="429" w:lineRule="exact"/>
              <w:ind w:left="331" w:right="311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60" w:type="dxa"/>
            <w:vMerge w:val="continue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>
            <w:pPr>
              <w:pStyle w:val="7"/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创新型企业申请，惠企惠民补贴咨询、著名商标，</w:t>
            </w:r>
          </w:p>
        </w:tc>
        <w:tc>
          <w:tcPr>
            <w:tcW w:w="4365" w:type="dxa"/>
            <w:vMerge w:val="continue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580" w:type="dxa"/>
            <w:vMerge w:val="continue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960" w:type="dxa"/>
            <w:vMerge w:val="continue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6010" w:type="dxa"/>
            <w:tcBorders>
              <w:top w:val="nil"/>
            </w:tcBorders>
          </w:tcPr>
          <w:p>
            <w:pPr>
              <w:pStyle w:val="7"/>
              <w:spacing w:line="401" w:lineRule="exact"/>
              <w:jc w:val="center"/>
              <w:rPr>
                <w:sz w:val="24"/>
              </w:rPr>
            </w:pPr>
            <w:r>
              <w:rPr>
                <w:sz w:val="24"/>
              </w:rPr>
              <w:t>驰名商标，知识产权咨询、注册，代账，社保代理</w:t>
            </w:r>
          </w:p>
        </w:tc>
        <w:tc>
          <w:tcPr>
            <w:tcW w:w="4365" w:type="dxa"/>
            <w:vMerge w:val="continue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580" w:type="dxa"/>
            <w:vMerge w:val="continue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960" w:type="dxa"/>
            <w:vMerge w:val="continue"/>
          </w:tcPr>
          <w:p>
            <w:pPr>
              <w:pStyle w:val="7"/>
              <w:spacing w:line="194" w:lineRule="auto"/>
              <w:ind w:left="120" w:right="107"/>
              <w:rPr>
                <w:b/>
                <w:sz w:val="24"/>
              </w:rPr>
            </w:pPr>
          </w:p>
        </w:tc>
        <w:tc>
          <w:tcPr>
            <w:tcW w:w="6010" w:type="dxa"/>
          </w:tcPr>
          <w:p>
            <w:pPr>
              <w:pStyle w:val="7"/>
              <w:spacing w:before="151"/>
              <w:ind w:left="1725"/>
              <w:rPr>
                <w:sz w:val="24"/>
              </w:rPr>
            </w:pPr>
            <w:r>
              <w:rPr>
                <w:sz w:val="24"/>
              </w:rPr>
              <w:t>产业保险、资产保险</w:t>
            </w:r>
          </w:p>
        </w:tc>
        <w:tc>
          <w:tcPr>
            <w:tcW w:w="4365" w:type="dxa"/>
          </w:tcPr>
          <w:p>
            <w:pPr>
              <w:pStyle w:val="7"/>
              <w:spacing w:before="151"/>
              <w:jc w:val="center"/>
              <w:rPr>
                <w:sz w:val="24"/>
              </w:rPr>
            </w:pPr>
            <w:r>
              <w:rPr>
                <w:sz w:val="24"/>
              </w:rPr>
              <w:t>中</w:t>
            </w:r>
            <w:r>
              <w:rPr>
                <w:rFonts w:hint="eastAsia"/>
                <w:sz w:val="24"/>
                <w:lang w:eastAsia="zh-CN"/>
              </w:rPr>
              <w:t>保财险</w:t>
            </w:r>
            <w:r>
              <w:rPr>
                <w:sz w:val="24"/>
              </w:rPr>
              <w:t>（厦门）</w:t>
            </w:r>
          </w:p>
        </w:tc>
        <w:tc>
          <w:tcPr>
            <w:tcW w:w="2580" w:type="dxa"/>
            <w:vMerge w:val="continue"/>
          </w:tcPr>
          <w:p>
            <w:pPr>
              <w:pStyle w:val="7"/>
              <w:spacing w:before="280" w:line="194" w:lineRule="auto"/>
              <w:ind w:right="312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960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0" w:type="dxa"/>
          </w:tcPr>
          <w:p>
            <w:pPr>
              <w:pStyle w:val="7"/>
              <w:spacing w:before="124" w:line="194" w:lineRule="auto"/>
              <w:ind w:left="108" w:right="94"/>
              <w:rPr>
                <w:sz w:val="24"/>
              </w:rPr>
            </w:pPr>
            <w:r>
              <w:rPr>
                <w:sz w:val="24"/>
              </w:rPr>
              <w:t>基金管理、投融资服务、并购整合、绿色能源产业基金</w:t>
            </w:r>
          </w:p>
        </w:tc>
        <w:tc>
          <w:tcPr>
            <w:tcW w:w="4365" w:type="dxa"/>
            <w:tcBorders>
              <w:bottom w:val="single" w:color="auto" w:sz="4" w:space="0"/>
            </w:tcBorders>
          </w:tcPr>
          <w:p>
            <w:pPr>
              <w:pStyle w:val="7"/>
              <w:spacing w:before="124" w:line="194" w:lineRule="auto"/>
              <w:ind w:left="106" w:right="97"/>
              <w:jc w:val="center"/>
              <w:rPr>
                <w:sz w:val="24"/>
              </w:rPr>
            </w:pPr>
            <w:r>
              <w:rPr>
                <w:sz w:val="24"/>
              </w:rPr>
              <w:t>硅谷惠银（厦门）资产有限公司</w:t>
            </w:r>
          </w:p>
          <w:p>
            <w:pPr>
              <w:pStyle w:val="7"/>
              <w:spacing w:before="124" w:line="194" w:lineRule="auto"/>
              <w:ind w:left="106" w:right="97"/>
              <w:jc w:val="center"/>
              <w:rPr>
                <w:rFonts w:hint="eastAsia" w:eastAsia="微软雅黑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厦门七匹狼节能环保产业基金</w:t>
            </w:r>
          </w:p>
        </w:tc>
        <w:tc>
          <w:tcPr>
            <w:tcW w:w="2580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8" w:hRule="atLeast"/>
        </w:trPr>
        <w:tc>
          <w:tcPr>
            <w:tcW w:w="960" w:type="dxa"/>
            <w:vMerge w:val="continue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6010" w:type="dxa"/>
            <w:tcBorders>
              <w:right w:val="single" w:color="auto" w:sz="4" w:space="0"/>
            </w:tcBorders>
          </w:tcPr>
          <w:p>
            <w:pPr>
              <w:pStyle w:val="7"/>
              <w:spacing w:before="142" w:line="194" w:lineRule="auto"/>
              <w:ind w:left="108" w:right="92"/>
              <w:rPr>
                <w:sz w:val="24"/>
              </w:rPr>
            </w:pPr>
            <w:r>
              <w:rPr>
                <w:sz w:val="24"/>
              </w:rPr>
              <w:t>融资（债权、授信、股权、租赁等</w:t>
            </w:r>
            <w:r>
              <w:rPr>
                <w:spacing w:val="-120"/>
                <w:sz w:val="24"/>
              </w:rPr>
              <w:t>）</w:t>
            </w:r>
            <w:r>
              <w:rPr>
                <w:spacing w:val="-3"/>
                <w:sz w:val="24"/>
              </w:rPr>
              <w:t>、信贷、供应链</w:t>
            </w:r>
            <w:r>
              <w:rPr>
                <w:sz w:val="24"/>
              </w:rPr>
              <w:t>金融、股权质押</w:t>
            </w:r>
          </w:p>
        </w:tc>
        <w:tc>
          <w:tcPr>
            <w:tcW w:w="436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spacing w:before="262"/>
              <w:ind w:left="106"/>
              <w:jc w:val="center"/>
              <w:rPr>
                <w:sz w:val="24"/>
              </w:rPr>
            </w:pPr>
          </w:p>
          <w:p>
            <w:pPr>
              <w:pStyle w:val="7"/>
              <w:spacing w:before="262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厦门市锢懋企业管理有限公司</w:t>
            </w:r>
          </w:p>
        </w:tc>
        <w:tc>
          <w:tcPr>
            <w:tcW w:w="2580" w:type="dxa"/>
            <w:vMerge w:val="continue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960" w:type="dxa"/>
            <w:vMerge w:val="continue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6010" w:type="dxa"/>
            <w:tcBorders>
              <w:bottom w:val="nil"/>
              <w:right w:val="single" w:color="auto" w:sz="4" w:space="0"/>
            </w:tcBorders>
          </w:tcPr>
          <w:p>
            <w:pPr>
              <w:pStyle w:val="7"/>
              <w:spacing w:before="269" w:line="381" w:lineRule="exact"/>
              <w:jc w:val="center"/>
              <w:rPr>
                <w:sz w:val="24"/>
              </w:rPr>
            </w:pPr>
            <w:r>
              <w:rPr>
                <w:sz w:val="24"/>
              </w:rPr>
              <w:t>资金、管理、结算、外汇、物业、跨境电商、资、</w:t>
            </w:r>
          </w:p>
        </w:tc>
        <w:tc>
          <w:tcPr>
            <w:tcW w:w="436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580" w:type="dxa"/>
            <w:vMerge w:val="continue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60" w:type="dxa"/>
            <w:vMerge w:val="continue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6010" w:type="dxa"/>
            <w:tcBorders>
              <w:top w:val="nil"/>
              <w:bottom w:val="nil"/>
              <w:right w:val="single" w:color="auto" w:sz="4" w:space="0"/>
            </w:tcBorders>
          </w:tcPr>
          <w:p>
            <w:pPr>
              <w:pStyle w:val="7"/>
              <w:spacing w:line="340" w:lineRule="exact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海内外 </w:t>
            </w:r>
            <w:r>
              <w:rPr>
                <w:sz w:val="24"/>
              </w:rPr>
              <w:t>IPO</w:t>
            </w:r>
            <w:r>
              <w:rPr>
                <w:spacing w:val="-12"/>
                <w:sz w:val="24"/>
              </w:rPr>
              <w:t>、外部债权及股权融资、上市服务、产权</w:t>
            </w:r>
          </w:p>
        </w:tc>
        <w:tc>
          <w:tcPr>
            <w:tcW w:w="436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spacing w:line="340" w:lineRule="exact"/>
              <w:ind w:left="106"/>
              <w:rPr>
                <w:sz w:val="24"/>
              </w:rPr>
            </w:pPr>
          </w:p>
        </w:tc>
        <w:tc>
          <w:tcPr>
            <w:tcW w:w="2580" w:type="dxa"/>
            <w:vMerge w:val="continue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60" w:type="dxa"/>
            <w:vMerge w:val="continue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6010" w:type="dxa"/>
            <w:tcBorders>
              <w:top w:val="nil"/>
              <w:bottom w:val="nil"/>
              <w:right w:val="single" w:color="auto" w:sz="4" w:space="0"/>
            </w:tcBorders>
          </w:tcPr>
          <w:p>
            <w:pPr>
              <w:pStyle w:val="7"/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及股份交易、融资租赁、物业买卖及租赁、营销推</w:t>
            </w:r>
          </w:p>
        </w:tc>
        <w:tc>
          <w:tcPr>
            <w:tcW w:w="436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spacing w:line="340" w:lineRule="exact"/>
              <w:rPr>
                <w:sz w:val="24"/>
              </w:rPr>
            </w:pPr>
          </w:p>
        </w:tc>
        <w:tc>
          <w:tcPr>
            <w:tcW w:w="2580" w:type="dxa"/>
            <w:vMerge w:val="continue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960" w:type="dxa"/>
            <w:vMerge w:val="continue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6010" w:type="dxa"/>
            <w:tcBorders>
              <w:top w:val="nil"/>
              <w:right w:val="single" w:color="auto" w:sz="4" w:space="0"/>
            </w:tcBorders>
          </w:tcPr>
          <w:p>
            <w:pPr>
              <w:pStyle w:val="7"/>
              <w:spacing w:line="401" w:lineRule="exact"/>
              <w:jc w:val="center"/>
              <w:rPr>
                <w:rFonts w:hint="default" w:eastAsia="微软雅黑"/>
                <w:sz w:val="24"/>
                <w:lang w:val="en-US" w:eastAsia="zh-CN"/>
              </w:rPr>
            </w:pPr>
            <w:r>
              <w:rPr>
                <w:sz w:val="24"/>
              </w:rPr>
              <w:t>广策划、商品买卖</w:t>
            </w:r>
            <w:r>
              <w:rPr>
                <w:rFonts w:hint="eastAsia"/>
                <w:sz w:val="24"/>
                <w:lang w:val="en-US" w:eastAsia="zh-CN"/>
              </w:rPr>
              <w:t>......</w:t>
            </w:r>
          </w:p>
        </w:tc>
        <w:tc>
          <w:tcPr>
            <w:tcW w:w="436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580" w:type="dxa"/>
            <w:vMerge w:val="continue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</w:tbl>
    <w:p>
      <w:pPr>
        <w:spacing w:after="0"/>
        <w:rPr>
          <w:rFonts w:ascii="Times New Roman"/>
          <w:sz w:val="24"/>
        </w:rPr>
        <w:sectPr>
          <w:pgSz w:w="16840" w:h="11910" w:orient="landscape"/>
          <w:pgMar w:top="1100" w:right="1320" w:bottom="1220" w:left="1080" w:header="0" w:footer="1033" w:gutter="0"/>
        </w:sect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spacing w:before="4"/>
        <w:rPr>
          <w:rFonts w:ascii="Times New Roman"/>
          <w:b w:val="0"/>
          <w:sz w:val="20"/>
        </w:rPr>
      </w:pPr>
    </w:p>
    <w:tbl>
      <w:tblPr>
        <w:tblStyle w:val="3"/>
        <w:tblW w:w="0" w:type="auto"/>
        <w:tblInd w:w="12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0"/>
        <w:gridCol w:w="5995"/>
        <w:gridCol w:w="4380"/>
        <w:gridCol w:w="259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2" w:hRule="atLeast"/>
        </w:trPr>
        <w:tc>
          <w:tcPr>
            <w:tcW w:w="960" w:type="dxa"/>
            <w:vMerge w:val="restart"/>
          </w:tcPr>
          <w:p>
            <w:pPr>
              <w:pStyle w:val="7"/>
              <w:rPr>
                <w:rFonts w:ascii="Times New Roman"/>
                <w:sz w:val="32"/>
              </w:rPr>
            </w:pPr>
          </w:p>
          <w:p>
            <w:pPr>
              <w:pStyle w:val="7"/>
              <w:rPr>
                <w:rFonts w:ascii="Times New Roman"/>
                <w:sz w:val="32"/>
              </w:rPr>
            </w:pPr>
          </w:p>
          <w:p>
            <w:pPr>
              <w:pStyle w:val="7"/>
              <w:rPr>
                <w:rFonts w:ascii="Times New Roman"/>
                <w:sz w:val="32"/>
              </w:rPr>
            </w:pPr>
          </w:p>
          <w:p>
            <w:pPr>
              <w:pStyle w:val="7"/>
              <w:rPr>
                <w:rFonts w:ascii="Times New Roman"/>
                <w:sz w:val="32"/>
              </w:rPr>
            </w:pPr>
          </w:p>
          <w:p>
            <w:pPr>
              <w:pStyle w:val="7"/>
              <w:spacing w:before="185" w:line="194" w:lineRule="auto"/>
              <w:ind w:left="240" w:right="107" w:hanging="120"/>
              <w:rPr>
                <w:b/>
                <w:sz w:val="24"/>
              </w:rPr>
            </w:pPr>
            <w:r>
              <w:rPr>
                <w:b/>
                <w:sz w:val="24"/>
              </w:rPr>
              <w:t>宣传策划部</w:t>
            </w:r>
          </w:p>
        </w:tc>
        <w:tc>
          <w:tcPr>
            <w:tcW w:w="5995" w:type="dxa"/>
          </w:tcPr>
          <w:p>
            <w:pPr>
              <w:pStyle w:val="7"/>
              <w:spacing w:before="255" w:line="194" w:lineRule="auto"/>
              <w:ind w:left="108" w:right="90"/>
              <w:jc w:val="center"/>
              <w:rPr>
                <w:sz w:val="24"/>
              </w:rPr>
            </w:pPr>
            <w:r>
              <w:rPr>
                <w:sz w:val="24"/>
              </w:rPr>
              <w:t>《海峡视点》栏目(专题片、汇报片、党建工作片、</w:t>
            </w:r>
            <w:r>
              <w:rPr>
                <w:spacing w:val="4"/>
                <w:sz w:val="24"/>
              </w:rPr>
              <w:t>宣传片、冠名、纪录片、广告）</w:t>
            </w:r>
            <w:r>
              <w:rPr>
                <w:spacing w:val="3"/>
                <w:sz w:val="24"/>
              </w:rPr>
              <w:t>及公众号、今日头</w:t>
            </w:r>
            <w:r>
              <w:rPr>
                <w:spacing w:val="-9"/>
                <w:sz w:val="24"/>
              </w:rPr>
              <w:t xml:space="preserve">条、腾讯、海博 </w:t>
            </w:r>
            <w:r>
              <w:rPr>
                <w:sz w:val="24"/>
              </w:rPr>
              <w:t>TV</w:t>
            </w:r>
            <w:r>
              <w:rPr>
                <w:spacing w:val="-7"/>
                <w:sz w:val="24"/>
              </w:rPr>
              <w:t xml:space="preserve">、中国电信 </w:t>
            </w:r>
            <w:r>
              <w:rPr>
                <w:sz w:val="24"/>
              </w:rPr>
              <w:t>IPTV</w:t>
            </w:r>
            <w:r>
              <w:rPr>
                <w:spacing w:val="-7"/>
                <w:sz w:val="24"/>
              </w:rPr>
              <w:t>、福建省电视台</w:t>
            </w:r>
            <w:r>
              <w:rPr>
                <w:spacing w:val="3"/>
                <w:sz w:val="24"/>
              </w:rPr>
              <w:t>经济生活频道、学习强国平台、搜狐、网易、央视频、福建日报、福州日报等</w:t>
            </w:r>
          </w:p>
        </w:tc>
        <w:tc>
          <w:tcPr>
            <w:tcW w:w="4380" w:type="dxa"/>
            <w:vMerge w:val="restart"/>
          </w:tcPr>
          <w:p>
            <w:pPr>
              <w:pStyle w:val="7"/>
              <w:rPr>
                <w:rFonts w:ascii="Times New Roman"/>
                <w:sz w:val="32"/>
              </w:rPr>
            </w:pPr>
          </w:p>
          <w:p>
            <w:pPr>
              <w:pStyle w:val="7"/>
              <w:rPr>
                <w:rFonts w:ascii="Times New Roman"/>
                <w:sz w:val="32"/>
              </w:rPr>
            </w:pPr>
          </w:p>
          <w:p>
            <w:pPr>
              <w:pStyle w:val="7"/>
              <w:rPr>
                <w:rFonts w:ascii="Times New Roman"/>
                <w:sz w:val="32"/>
              </w:rPr>
            </w:pPr>
          </w:p>
          <w:p>
            <w:pPr>
              <w:pStyle w:val="7"/>
              <w:rPr>
                <w:rFonts w:ascii="Times New Roman"/>
                <w:sz w:val="32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26"/>
              </w:rPr>
            </w:pPr>
          </w:p>
          <w:p>
            <w:pPr>
              <w:pStyle w:val="7"/>
              <w:jc w:val="center"/>
              <w:rPr>
                <w:sz w:val="24"/>
              </w:rPr>
            </w:pPr>
            <w:r>
              <w:rPr>
                <w:sz w:val="24"/>
              </w:rPr>
              <w:t>福建匠星文化传媒有限公司</w:t>
            </w:r>
          </w:p>
        </w:tc>
        <w:tc>
          <w:tcPr>
            <w:tcW w:w="2595" w:type="dxa"/>
            <w:vMerge w:val="restart"/>
          </w:tcPr>
          <w:p>
            <w:pPr>
              <w:pStyle w:val="7"/>
              <w:rPr>
                <w:rFonts w:ascii="Times New Roman"/>
                <w:sz w:val="32"/>
              </w:rPr>
            </w:pPr>
          </w:p>
          <w:p>
            <w:pPr>
              <w:pStyle w:val="7"/>
              <w:rPr>
                <w:rFonts w:ascii="Times New Roman"/>
                <w:sz w:val="32"/>
              </w:rPr>
            </w:pPr>
          </w:p>
          <w:p>
            <w:pPr>
              <w:pStyle w:val="7"/>
              <w:spacing w:before="185" w:line="194" w:lineRule="auto"/>
              <w:ind w:left="351" w:right="312" w:firstLine="379"/>
              <w:rPr>
                <w:sz w:val="24"/>
              </w:rPr>
            </w:pPr>
            <w:r>
              <w:rPr>
                <w:sz w:val="24"/>
              </w:rPr>
              <w:t>林 艳 艳 : 13606903834</w:t>
            </w:r>
          </w:p>
          <w:p>
            <w:pPr>
              <w:pStyle w:val="7"/>
              <w:spacing w:before="185" w:line="194" w:lineRule="auto"/>
              <w:ind w:left="351" w:right="312" w:firstLine="379"/>
              <w:rPr>
                <w:sz w:val="24"/>
              </w:rPr>
            </w:pPr>
            <w:r>
              <w:rPr>
                <w:sz w:val="24"/>
              </w:rPr>
              <w:t>朱 敏 婕 : 15880210261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3" w:hRule="atLeast"/>
        </w:trPr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95" w:type="dxa"/>
          </w:tcPr>
          <w:p>
            <w:pPr>
              <w:pStyle w:val="7"/>
              <w:spacing w:before="168" w:line="194" w:lineRule="auto"/>
              <w:ind w:left="108" w:right="-29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宣传报道、影视节目、抖音、快手、影视节目制作、</w:t>
            </w:r>
            <w:r>
              <w:rPr>
                <w:spacing w:val="3"/>
                <w:sz w:val="24"/>
              </w:rPr>
              <w:t>大型活动、新媒体与运营、赛事晚会、人物专访、栏目资讯报道、福建省电视台、厦门电视台、头条能源环保、能源界网、厦门日报</w:t>
            </w:r>
          </w:p>
        </w:tc>
        <w:tc>
          <w:tcPr>
            <w:tcW w:w="43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9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</w:trPr>
        <w:tc>
          <w:tcPr>
            <w:tcW w:w="960" w:type="dxa"/>
            <w:vMerge w:val="restart"/>
          </w:tcPr>
          <w:p>
            <w:pPr>
              <w:pStyle w:val="7"/>
              <w:rPr>
                <w:rFonts w:ascii="Times New Roman"/>
                <w:sz w:val="32"/>
              </w:rPr>
            </w:pPr>
          </w:p>
          <w:p>
            <w:pPr>
              <w:pStyle w:val="7"/>
              <w:rPr>
                <w:rFonts w:ascii="Times New Roman"/>
                <w:sz w:val="32"/>
              </w:rPr>
            </w:pPr>
          </w:p>
          <w:p>
            <w:pPr>
              <w:pStyle w:val="7"/>
              <w:rPr>
                <w:rFonts w:ascii="Times New Roman"/>
                <w:sz w:val="32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31"/>
              </w:rPr>
            </w:pPr>
          </w:p>
          <w:p>
            <w:pPr>
              <w:pStyle w:val="7"/>
              <w:spacing w:line="194" w:lineRule="auto"/>
              <w:ind w:left="240" w:right="107" w:hanging="120"/>
              <w:rPr>
                <w:b/>
                <w:sz w:val="24"/>
              </w:rPr>
            </w:pPr>
            <w:r>
              <w:rPr>
                <w:b/>
                <w:sz w:val="24"/>
              </w:rPr>
              <w:t>商务服务部</w:t>
            </w:r>
          </w:p>
        </w:tc>
        <w:tc>
          <w:tcPr>
            <w:tcW w:w="5995" w:type="dxa"/>
            <w:vMerge w:val="restart"/>
          </w:tcPr>
          <w:p>
            <w:pPr>
              <w:pStyle w:val="7"/>
              <w:spacing w:before="177" w:line="194" w:lineRule="auto"/>
              <w:ind w:left="108" w:right="97"/>
              <w:jc w:val="center"/>
              <w:rPr>
                <w:sz w:val="24"/>
              </w:rPr>
            </w:pPr>
            <w:r>
              <w:rPr>
                <w:sz w:val="24"/>
              </w:rPr>
              <w:t>市场项目对接与合作、科技产业园区运营与招商引资</w:t>
            </w:r>
          </w:p>
          <w:p>
            <w:pPr>
              <w:pStyle w:val="7"/>
              <w:spacing w:line="386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培训—新能源产业系列研修班</w:t>
            </w:r>
          </w:p>
        </w:tc>
        <w:tc>
          <w:tcPr>
            <w:tcW w:w="4380" w:type="dxa"/>
          </w:tcPr>
          <w:p>
            <w:pPr>
              <w:pStyle w:val="7"/>
              <w:spacing w:before="112"/>
              <w:ind w:left="88" w:right="79"/>
              <w:jc w:val="center"/>
              <w:rPr>
                <w:sz w:val="24"/>
              </w:rPr>
            </w:pPr>
            <w:r>
              <w:rPr>
                <w:sz w:val="24"/>
              </w:rPr>
              <w:t>厦门大学能源学院</w:t>
            </w:r>
          </w:p>
        </w:tc>
        <w:tc>
          <w:tcPr>
            <w:tcW w:w="2595" w:type="dxa"/>
            <w:vMerge w:val="restart"/>
          </w:tcPr>
          <w:p>
            <w:pPr>
              <w:pStyle w:val="7"/>
              <w:rPr>
                <w:rFonts w:ascii="Times New Roman"/>
                <w:sz w:val="32"/>
              </w:rPr>
            </w:pPr>
          </w:p>
          <w:p>
            <w:pPr>
              <w:pStyle w:val="7"/>
              <w:spacing w:before="9"/>
              <w:rPr>
                <w:rFonts w:ascii="Times New Roman"/>
                <w:sz w:val="32"/>
              </w:rPr>
            </w:pPr>
          </w:p>
          <w:p>
            <w:pPr>
              <w:pStyle w:val="7"/>
              <w:spacing w:line="194" w:lineRule="auto"/>
              <w:ind w:left="351" w:right="329" w:firstLine="410"/>
              <w:rPr>
                <w:sz w:val="24"/>
              </w:rPr>
            </w:pPr>
            <w:r>
              <w:rPr>
                <w:sz w:val="24"/>
              </w:rPr>
              <w:t>王兆林15750709001</w:t>
            </w:r>
          </w:p>
          <w:p>
            <w:pPr>
              <w:pStyle w:val="7"/>
              <w:spacing w:before="4" w:line="194" w:lineRule="auto"/>
              <w:ind w:left="351" w:right="312" w:firstLine="379"/>
              <w:rPr>
                <w:sz w:val="24"/>
              </w:rPr>
            </w:pPr>
            <w:r>
              <w:rPr>
                <w:sz w:val="24"/>
              </w:rPr>
              <w:t>孙 闽 兆 : 18060780325</w:t>
            </w:r>
          </w:p>
          <w:p>
            <w:pPr>
              <w:pStyle w:val="7"/>
              <w:spacing w:before="3" w:line="194" w:lineRule="auto"/>
              <w:ind w:left="351" w:right="329" w:firstLine="410"/>
              <w:rPr>
                <w:sz w:val="24"/>
              </w:rPr>
            </w:pPr>
            <w:r>
              <w:rPr>
                <w:sz w:val="24"/>
              </w:rPr>
              <w:t>林艳艳13606903834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9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80" w:type="dxa"/>
          </w:tcPr>
          <w:p>
            <w:pPr>
              <w:pStyle w:val="7"/>
              <w:spacing w:before="151"/>
              <w:ind w:left="88" w:right="79"/>
              <w:jc w:val="center"/>
              <w:rPr>
                <w:rFonts w:hint="eastAsia" w:eastAsia="微软雅黑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厦钨学院</w:t>
            </w:r>
          </w:p>
        </w:tc>
        <w:tc>
          <w:tcPr>
            <w:tcW w:w="259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95" w:type="dxa"/>
            <w:vMerge w:val="restart"/>
          </w:tcPr>
          <w:p>
            <w:pPr>
              <w:pStyle w:val="7"/>
              <w:rPr>
                <w:rFonts w:ascii="Times New Roman"/>
                <w:sz w:val="32"/>
              </w:rPr>
            </w:pPr>
          </w:p>
          <w:p>
            <w:pPr>
              <w:pStyle w:val="7"/>
              <w:spacing w:before="224" w:line="194" w:lineRule="auto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产业标准建设、检测、验收、评估、标准制修订、科技创新、人才培养、咨询与培训、品牌培育、业务推介</w:t>
            </w:r>
          </w:p>
        </w:tc>
        <w:tc>
          <w:tcPr>
            <w:tcW w:w="4380" w:type="dxa"/>
          </w:tcPr>
          <w:p>
            <w:pPr>
              <w:pStyle w:val="7"/>
              <w:spacing w:before="131"/>
              <w:ind w:left="88" w:right="79"/>
              <w:jc w:val="center"/>
              <w:rPr>
                <w:sz w:val="24"/>
              </w:rPr>
            </w:pPr>
            <w:r>
              <w:rPr>
                <w:sz w:val="24"/>
              </w:rPr>
              <w:t>厦门市产品质量监督检验院</w:t>
            </w:r>
          </w:p>
        </w:tc>
        <w:tc>
          <w:tcPr>
            <w:tcW w:w="259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9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80" w:type="dxa"/>
          </w:tcPr>
          <w:p>
            <w:pPr>
              <w:pStyle w:val="7"/>
              <w:spacing w:before="101" w:line="194" w:lineRule="auto"/>
              <w:ind w:right="95"/>
              <w:jc w:val="center"/>
              <w:rPr>
                <w:sz w:val="24"/>
              </w:rPr>
            </w:pPr>
            <w:r>
              <w:rPr>
                <w:sz w:val="24"/>
              </w:rPr>
              <w:t>TUV 南德认证检测(中国)有限公司</w:t>
            </w:r>
          </w:p>
        </w:tc>
        <w:tc>
          <w:tcPr>
            <w:tcW w:w="259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9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80" w:type="dxa"/>
          </w:tcPr>
          <w:p>
            <w:pPr>
              <w:pStyle w:val="7"/>
              <w:spacing w:before="115"/>
              <w:ind w:left="88" w:right="79"/>
              <w:jc w:val="center"/>
              <w:rPr>
                <w:sz w:val="24"/>
              </w:rPr>
            </w:pPr>
            <w:r>
              <w:rPr>
                <w:sz w:val="24"/>
              </w:rPr>
              <w:t>必维国际检验集团</w:t>
            </w:r>
          </w:p>
        </w:tc>
        <w:tc>
          <w:tcPr>
            <w:tcW w:w="259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10" w:orient="landscape"/>
          <w:pgMar w:top="1100" w:right="1320" w:bottom="1220" w:left="1080" w:header="0" w:footer="1033" w:gutter="0"/>
        </w:sectPr>
      </w:pPr>
    </w:p>
    <w:p>
      <w:pPr>
        <w:pStyle w:val="2"/>
        <w:spacing w:before="4"/>
        <w:rPr>
          <w:rFonts w:ascii="Times New Roman"/>
          <w:b w:val="0"/>
          <w:sz w:val="20"/>
        </w:rPr>
      </w:pPr>
    </w:p>
    <w:tbl>
      <w:tblPr>
        <w:tblStyle w:val="3"/>
        <w:tblW w:w="0" w:type="auto"/>
        <w:tblInd w:w="12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0"/>
        <w:gridCol w:w="6010"/>
        <w:gridCol w:w="4365"/>
        <w:gridCol w:w="261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3" w:hRule="atLeast"/>
        </w:trPr>
        <w:tc>
          <w:tcPr>
            <w:tcW w:w="960" w:type="dxa"/>
          </w:tcPr>
          <w:p>
            <w:pPr>
              <w:pStyle w:val="7"/>
              <w:spacing w:before="9"/>
              <w:rPr>
                <w:rFonts w:ascii="Times New Roman"/>
                <w:sz w:val="37"/>
              </w:rPr>
            </w:pPr>
          </w:p>
          <w:p>
            <w:pPr>
              <w:pStyle w:val="7"/>
              <w:spacing w:before="1" w:line="194" w:lineRule="auto"/>
              <w:ind w:left="240" w:right="107" w:hanging="120"/>
              <w:rPr>
                <w:b/>
                <w:sz w:val="24"/>
              </w:rPr>
            </w:pPr>
            <w:r>
              <w:rPr>
                <w:b/>
                <w:sz w:val="24"/>
              </w:rPr>
              <w:t>展览事业部</w:t>
            </w:r>
          </w:p>
        </w:tc>
        <w:tc>
          <w:tcPr>
            <w:tcW w:w="6010" w:type="dxa"/>
          </w:tcPr>
          <w:p>
            <w:pPr>
              <w:pStyle w:val="7"/>
              <w:rPr>
                <w:rFonts w:ascii="Times New Roman"/>
                <w:sz w:val="32"/>
              </w:rPr>
            </w:pPr>
          </w:p>
          <w:p>
            <w:pPr>
              <w:pStyle w:val="7"/>
              <w:spacing w:before="187"/>
              <w:ind w:left="145" w:right="139"/>
              <w:jc w:val="center"/>
              <w:rPr>
                <w:sz w:val="24"/>
              </w:rPr>
            </w:pPr>
            <w:r>
              <w:rPr>
                <w:sz w:val="24"/>
              </w:rPr>
              <w:t>展会、论坛、大赛</w:t>
            </w:r>
          </w:p>
        </w:tc>
        <w:tc>
          <w:tcPr>
            <w:tcW w:w="4365" w:type="dxa"/>
          </w:tcPr>
          <w:p>
            <w:pPr>
              <w:pStyle w:val="7"/>
              <w:spacing w:before="9"/>
              <w:rPr>
                <w:rFonts w:ascii="Times New Roman"/>
                <w:sz w:val="37"/>
              </w:rPr>
            </w:pPr>
          </w:p>
          <w:p>
            <w:pPr>
              <w:pStyle w:val="7"/>
              <w:spacing w:before="1" w:line="194" w:lineRule="auto"/>
              <w:ind w:right="97"/>
              <w:jc w:val="center"/>
              <w:rPr>
                <w:sz w:val="24"/>
              </w:rPr>
            </w:pPr>
            <w:r>
              <w:rPr>
                <w:sz w:val="24"/>
              </w:rPr>
              <w:t>厦门东方华艺文化传播有限公司</w:t>
            </w:r>
          </w:p>
        </w:tc>
        <w:tc>
          <w:tcPr>
            <w:tcW w:w="2610" w:type="dxa"/>
          </w:tcPr>
          <w:p>
            <w:pPr>
              <w:pStyle w:val="7"/>
              <w:spacing w:before="75" w:line="194" w:lineRule="auto"/>
              <w:ind w:left="351" w:right="329" w:hanging="14"/>
              <w:jc w:val="center"/>
              <w:rPr>
                <w:sz w:val="24"/>
              </w:rPr>
            </w:pPr>
            <w:r>
              <w:rPr>
                <w:sz w:val="24"/>
              </w:rPr>
              <w:t>林 艳 艳 : 13606903834</w:t>
            </w:r>
          </w:p>
          <w:p>
            <w:pPr>
              <w:pStyle w:val="7"/>
              <w:spacing w:line="344" w:lineRule="exact"/>
              <w:ind w:left="317" w:right="311"/>
              <w:jc w:val="center"/>
              <w:rPr>
                <w:sz w:val="24"/>
              </w:rPr>
            </w:pPr>
            <w:r>
              <w:rPr>
                <w:sz w:val="24"/>
              </w:rPr>
              <w:t>郑艳群:</w:t>
            </w:r>
          </w:p>
          <w:p>
            <w:pPr>
              <w:pStyle w:val="7"/>
              <w:spacing w:line="373" w:lineRule="exact"/>
              <w:ind w:left="331" w:right="311"/>
              <w:jc w:val="center"/>
              <w:rPr>
                <w:sz w:val="24"/>
              </w:rPr>
            </w:pPr>
            <w:r>
              <w:rPr>
                <w:sz w:val="24"/>
              </w:rPr>
              <w:t>18605965635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1" w:hRule="atLeast"/>
        </w:trPr>
        <w:tc>
          <w:tcPr>
            <w:tcW w:w="960" w:type="dxa"/>
          </w:tcPr>
          <w:p>
            <w:pPr>
              <w:pStyle w:val="7"/>
              <w:spacing w:before="3"/>
              <w:rPr>
                <w:rFonts w:ascii="Times New Roman"/>
                <w:sz w:val="39"/>
              </w:rPr>
            </w:pPr>
          </w:p>
          <w:p>
            <w:pPr>
              <w:pStyle w:val="7"/>
              <w:spacing w:line="194" w:lineRule="auto"/>
              <w:ind w:left="240" w:right="107" w:hanging="120"/>
              <w:rPr>
                <w:b/>
                <w:sz w:val="24"/>
              </w:rPr>
            </w:pPr>
            <w:r>
              <w:rPr>
                <w:b/>
                <w:sz w:val="24"/>
              </w:rPr>
              <w:t>创新创业部</w:t>
            </w:r>
          </w:p>
        </w:tc>
        <w:tc>
          <w:tcPr>
            <w:tcW w:w="6010" w:type="dxa"/>
          </w:tcPr>
          <w:p>
            <w:pPr>
              <w:pStyle w:val="7"/>
              <w:rPr>
                <w:rFonts w:ascii="Times New Roman"/>
                <w:sz w:val="32"/>
              </w:rPr>
            </w:pPr>
          </w:p>
          <w:p>
            <w:pPr>
              <w:pStyle w:val="7"/>
              <w:spacing w:before="203"/>
              <w:ind w:left="145" w:right="139"/>
              <w:jc w:val="center"/>
              <w:rPr>
                <w:sz w:val="24"/>
              </w:rPr>
            </w:pPr>
            <w:r>
              <w:rPr>
                <w:sz w:val="24"/>
              </w:rPr>
              <w:t>孵化项目、入住手续、创业孵化、资源交流合作</w:t>
            </w:r>
          </w:p>
        </w:tc>
        <w:tc>
          <w:tcPr>
            <w:tcW w:w="4365" w:type="dxa"/>
          </w:tcPr>
          <w:p>
            <w:pPr>
              <w:pStyle w:val="7"/>
              <w:rPr>
                <w:rFonts w:ascii="Times New Roman"/>
                <w:sz w:val="34"/>
              </w:rPr>
            </w:pPr>
          </w:p>
          <w:p>
            <w:pPr>
              <w:pStyle w:val="7"/>
              <w:spacing w:line="401" w:lineRule="exact"/>
              <w:ind w:left="88" w:right="76"/>
              <w:jc w:val="center"/>
              <w:rPr>
                <w:sz w:val="24"/>
              </w:rPr>
            </w:pPr>
            <w:r>
              <w:rPr>
                <w:sz w:val="24"/>
              </w:rPr>
              <w:t>YQSPACE</w:t>
            </w:r>
          </w:p>
          <w:p>
            <w:pPr>
              <w:pStyle w:val="7"/>
              <w:spacing w:line="401" w:lineRule="exact"/>
              <w:jc w:val="center"/>
              <w:rPr>
                <w:sz w:val="24"/>
              </w:rPr>
            </w:pPr>
            <w:r>
              <w:rPr>
                <w:sz w:val="24"/>
              </w:rPr>
              <w:t>福建新能源产业联盟众创平台</w:t>
            </w:r>
          </w:p>
        </w:tc>
        <w:tc>
          <w:tcPr>
            <w:tcW w:w="2610" w:type="dxa"/>
          </w:tcPr>
          <w:p>
            <w:pPr>
              <w:pStyle w:val="7"/>
              <w:spacing w:before="91" w:line="194" w:lineRule="auto"/>
              <w:ind w:left="351" w:right="312" w:firstLine="410"/>
              <w:rPr>
                <w:sz w:val="24"/>
              </w:rPr>
            </w:pPr>
            <w:r>
              <w:rPr>
                <w:sz w:val="24"/>
              </w:rPr>
              <w:t>汤 浩 ： 15306021079</w:t>
            </w:r>
          </w:p>
          <w:p>
            <w:pPr>
              <w:pStyle w:val="7"/>
              <w:spacing w:before="4" w:line="194" w:lineRule="auto"/>
              <w:ind w:left="351" w:right="312" w:firstLine="379"/>
              <w:rPr>
                <w:sz w:val="24"/>
              </w:rPr>
            </w:pPr>
            <w:r>
              <w:rPr>
                <w:sz w:val="24"/>
              </w:rPr>
              <w:t>叶 龙 斌 : 13860462690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960" w:type="dxa"/>
            <w:vMerge w:val="restart"/>
          </w:tcPr>
          <w:p>
            <w:pPr>
              <w:pStyle w:val="7"/>
              <w:rPr>
                <w:rFonts w:ascii="Times New Roman"/>
                <w:sz w:val="32"/>
              </w:rPr>
            </w:pPr>
          </w:p>
          <w:p>
            <w:pPr>
              <w:pStyle w:val="7"/>
              <w:rPr>
                <w:rFonts w:ascii="Times New Roman"/>
                <w:sz w:val="32"/>
              </w:rPr>
            </w:pPr>
          </w:p>
          <w:p>
            <w:pPr>
              <w:pStyle w:val="7"/>
              <w:rPr>
                <w:rFonts w:ascii="Times New Roman"/>
                <w:sz w:val="32"/>
              </w:rPr>
            </w:pPr>
          </w:p>
          <w:p>
            <w:pPr>
              <w:pStyle w:val="7"/>
              <w:rPr>
                <w:rFonts w:ascii="Times New Roman"/>
                <w:sz w:val="32"/>
              </w:rPr>
            </w:pPr>
          </w:p>
          <w:p>
            <w:pPr>
              <w:pStyle w:val="7"/>
              <w:spacing w:before="10"/>
              <w:rPr>
                <w:rFonts w:ascii="Times New Roman"/>
                <w:sz w:val="34"/>
              </w:rPr>
            </w:pPr>
          </w:p>
          <w:p>
            <w:pPr>
              <w:pStyle w:val="7"/>
              <w:spacing w:line="194" w:lineRule="auto"/>
              <w:ind w:left="120" w:righ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知识产权维权部</w:t>
            </w:r>
          </w:p>
        </w:tc>
        <w:tc>
          <w:tcPr>
            <w:tcW w:w="6010" w:type="dxa"/>
          </w:tcPr>
          <w:p>
            <w:pPr>
              <w:pStyle w:val="7"/>
              <w:spacing w:before="128"/>
              <w:ind w:left="145" w:right="139"/>
              <w:jc w:val="center"/>
              <w:rPr>
                <w:sz w:val="24"/>
              </w:rPr>
            </w:pPr>
            <w:r>
              <w:rPr>
                <w:sz w:val="24"/>
              </w:rPr>
              <w:t>两高双百申报代理+规范辅导</w:t>
            </w:r>
          </w:p>
        </w:tc>
        <w:tc>
          <w:tcPr>
            <w:tcW w:w="4365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610" w:type="dxa"/>
            <w:vMerge w:val="restart"/>
          </w:tcPr>
          <w:p>
            <w:pPr>
              <w:pStyle w:val="7"/>
              <w:rPr>
                <w:rFonts w:ascii="Times New Roman"/>
                <w:sz w:val="32"/>
              </w:rPr>
            </w:pPr>
          </w:p>
          <w:p>
            <w:pPr>
              <w:pStyle w:val="7"/>
              <w:rPr>
                <w:rFonts w:ascii="Times New Roman"/>
                <w:sz w:val="32"/>
              </w:rPr>
            </w:pPr>
          </w:p>
          <w:p>
            <w:pPr>
              <w:pStyle w:val="7"/>
              <w:rPr>
                <w:rFonts w:ascii="Times New Roman"/>
                <w:sz w:val="32"/>
              </w:rPr>
            </w:pPr>
          </w:p>
          <w:p>
            <w:pPr>
              <w:pStyle w:val="7"/>
              <w:spacing w:before="229" w:line="194" w:lineRule="auto"/>
              <w:ind w:left="351" w:right="312" w:firstLine="410"/>
              <w:rPr>
                <w:sz w:val="24"/>
              </w:rPr>
            </w:pPr>
            <w:r>
              <w:rPr>
                <w:sz w:val="24"/>
              </w:rPr>
              <w:t>汤 浩 ： 15306021079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0" w:type="dxa"/>
          </w:tcPr>
          <w:p>
            <w:pPr>
              <w:pStyle w:val="7"/>
              <w:spacing w:before="168"/>
              <w:ind w:left="145" w:right="139"/>
              <w:jc w:val="center"/>
              <w:rPr>
                <w:sz w:val="24"/>
              </w:rPr>
            </w:pPr>
            <w:r>
              <w:rPr>
                <w:sz w:val="24"/>
              </w:rPr>
              <w:t>发改、工信、科技等相关补贴政策申报</w:t>
            </w:r>
          </w:p>
        </w:tc>
        <w:tc>
          <w:tcPr>
            <w:tcW w:w="4365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61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1" w:hRule="atLeast"/>
        </w:trPr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0" w:type="dxa"/>
          </w:tcPr>
          <w:p>
            <w:pPr>
              <w:pStyle w:val="7"/>
              <w:spacing w:before="169" w:line="194" w:lineRule="auto"/>
              <w:ind w:left="108" w:right="94"/>
              <w:jc w:val="center"/>
              <w:rPr>
                <w:sz w:val="24"/>
              </w:rPr>
            </w:pPr>
            <w:r>
              <w:rPr>
                <w:sz w:val="24"/>
              </w:rPr>
              <w:t>投资基金、知识产权金融化、融资、资金筹划、专利布局、导航、预警、高价值专利组合培育、知识产权许可、交易、资源对接、服务匹配、知识产权领域的规划、布局、维权、举报投诉援助服务、知识产权分析论证、评估预警</w:t>
            </w:r>
          </w:p>
        </w:tc>
        <w:tc>
          <w:tcPr>
            <w:tcW w:w="4365" w:type="dxa"/>
          </w:tcPr>
          <w:p>
            <w:pPr>
              <w:pStyle w:val="7"/>
              <w:rPr>
                <w:rFonts w:ascii="Times New Roman"/>
                <w:sz w:val="32"/>
              </w:rPr>
            </w:pPr>
          </w:p>
          <w:p>
            <w:pPr>
              <w:pStyle w:val="7"/>
              <w:rPr>
                <w:rFonts w:ascii="Times New Roman"/>
                <w:sz w:val="40"/>
              </w:rPr>
            </w:pPr>
          </w:p>
          <w:p>
            <w:pPr>
              <w:pStyle w:val="7"/>
              <w:spacing w:before="1"/>
              <w:ind w:left="88" w:right="191"/>
              <w:jc w:val="center"/>
              <w:rPr>
                <w:sz w:val="24"/>
              </w:rPr>
            </w:pPr>
            <w:r>
              <w:rPr>
                <w:sz w:val="24"/>
              </w:rPr>
              <w:t>厦门市知识产权投资有限公司</w:t>
            </w:r>
          </w:p>
        </w:tc>
        <w:tc>
          <w:tcPr>
            <w:tcW w:w="261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0" w:type="dxa"/>
          </w:tcPr>
          <w:p>
            <w:pPr>
              <w:pStyle w:val="7"/>
              <w:spacing w:before="1"/>
              <w:rPr>
                <w:rFonts w:ascii="Times New Roman"/>
                <w:sz w:val="35"/>
              </w:rPr>
            </w:pPr>
          </w:p>
          <w:p>
            <w:pPr>
              <w:pStyle w:val="7"/>
              <w:ind w:left="145" w:right="139"/>
              <w:jc w:val="center"/>
              <w:rPr>
                <w:sz w:val="24"/>
              </w:rPr>
            </w:pPr>
            <w:r>
              <w:rPr>
                <w:sz w:val="24"/>
              </w:rPr>
              <w:t>法律援助、维护合法权益（举报投诉援助服务等）</w:t>
            </w:r>
          </w:p>
        </w:tc>
        <w:tc>
          <w:tcPr>
            <w:tcW w:w="4365" w:type="dxa"/>
          </w:tcPr>
          <w:p>
            <w:pPr>
              <w:pStyle w:val="7"/>
              <w:spacing w:before="1"/>
              <w:rPr>
                <w:rFonts w:ascii="Times New Roman"/>
                <w:sz w:val="35"/>
              </w:rPr>
            </w:pPr>
          </w:p>
          <w:p>
            <w:pPr>
              <w:pStyle w:val="7"/>
              <w:ind w:left="88" w:right="79"/>
              <w:jc w:val="center"/>
              <w:rPr>
                <w:sz w:val="24"/>
              </w:rPr>
            </w:pPr>
            <w:r>
              <w:rPr>
                <w:sz w:val="24"/>
              </w:rPr>
              <w:t>福建英合律师事务所</w:t>
            </w:r>
          </w:p>
        </w:tc>
        <w:tc>
          <w:tcPr>
            <w:tcW w:w="261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tbl>
      <w:tblPr>
        <w:tblStyle w:val="3"/>
        <w:tblpPr w:leftFromText="180" w:rightFromText="180" w:vertAnchor="text" w:horzAnchor="page" w:tblpX="1199" w:tblpY="10"/>
        <w:tblOverlap w:val="never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0"/>
        <w:gridCol w:w="6025"/>
        <w:gridCol w:w="4380"/>
        <w:gridCol w:w="263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940" w:type="dxa"/>
            <w:vMerge w:val="restart"/>
          </w:tcPr>
          <w:p>
            <w:pPr>
              <w:pStyle w:val="7"/>
              <w:rPr>
                <w:rFonts w:ascii="Times New Roman"/>
                <w:sz w:val="38"/>
              </w:rPr>
            </w:pPr>
          </w:p>
          <w:p>
            <w:pPr>
              <w:pStyle w:val="7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办公室</w:t>
            </w:r>
          </w:p>
        </w:tc>
        <w:tc>
          <w:tcPr>
            <w:tcW w:w="6025" w:type="dxa"/>
          </w:tcPr>
          <w:p>
            <w:pPr>
              <w:pStyle w:val="7"/>
              <w:spacing w:before="106"/>
              <w:ind w:left="145" w:right="139"/>
              <w:jc w:val="center"/>
              <w:rPr>
                <w:sz w:val="24"/>
              </w:rPr>
            </w:pPr>
            <w:r>
              <w:rPr>
                <w:sz w:val="24"/>
              </w:rPr>
              <w:t>健康服务</w:t>
            </w:r>
          </w:p>
        </w:tc>
        <w:tc>
          <w:tcPr>
            <w:tcW w:w="4380" w:type="dxa"/>
          </w:tcPr>
          <w:p>
            <w:pPr>
              <w:pStyle w:val="7"/>
              <w:spacing w:before="106"/>
              <w:ind w:left="88" w:right="79"/>
              <w:jc w:val="center"/>
              <w:rPr>
                <w:sz w:val="24"/>
              </w:rPr>
            </w:pPr>
            <w:r>
              <w:rPr>
                <w:sz w:val="24"/>
              </w:rPr>
              <w:t>美年大健康</w:t>
            </w:r>
          </w:p>
        </w:tc>
        <w:tc>
          <w:tcPr>
            <w:tcW w:w="2635" w:type="dxa"/>
            <w:vMerge w:val="restart"/>
          </w:tcPr>
          <w:p>
            <w:pPr>
              <w:pStyle w:val="7"/>
              <w:spacing w:before="7"/>
              <w:rPr>
                <w:rFonts w:ascii="Times New Roman"/>
                <w:sz w:val="27"/>
              </w:rPr>
            </w:pPr>
          </w:p>
          <w:p>
            <w:pPr>
              <w:pStyle w:val="7"/>
              <w:spacing w:line="194" w:lineRule="auto"/>
              <w:ind w:left="351" w:right="312" w:firstLine="379"/>
              <w:rPr>
                <w:sz w:val="24"/>
              </w:rPr>
            </w:pPr>
            <w:r>
              <w:rPr>
                <w:sz w:val="24"/>
              </w:rPr>
              <w:t>郑 艳 群 : 18605965635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9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25" w:type="dxa"/>
          </w:tcPr>
          <w:p>
            <w:pPr>
              <w:pStyle w:val="7"/>
              <w:spacing w:before="116"/>
              <w:ind w:left="145" w:right="139"/>
              <w:jc w:val="center"/>
              <w:rPr>
                <w:sz w:val="24"/>
              </w:rPr>
            </w:pPr>
            <w:r>
              <w:rPr>
                <w:sz w:val="24"/>
              </w:rPr>
              <w:t>文化体育服务（篮球队、篮球场）</w:t>
            </w:r>
          </w:p>
        </w:tc>
        <w:tc>
          <w:tcPr>
            <w:tcW w:w="4380" w:type="dxa"/>
          </w:tcPr>
          <w:p>
            <w:pPr>
              <w:pStyle w:val="7"/>
              <w:spacing w:before="116"/>
              <w:ind w:left="88" w:right="79"/>
              <w:jc w:val="center"/>
              <w:rPr>
                <w:sz w:val="24"/>
              </w:rPr>
            </w:pPr>
            <w:r>
              <w:rPr>
                <w:sz w:val="24"/>
              </w:rPr>
              <w:t>诗书影画院、创新创业部</w:t>
            </w:r>
          </w:p>
        </w:tc>
        <w:tc>
          <w:tcPr>
            <w:tcW w:w="26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</w:pPr>
    </w:p>
    <w:p>
      <w:pPr>
        <w:spacing w:after="0"/>
        <w:rPr>
          <w:sz w:val="2"/>
          <w:szCs w:val="2"/>
        </w:rPr>
      </w:pPr>
    </w:p>
    <w:p>
      <w:pPr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</w:p>
    <w:p>
      <w:pPr>
        <w:spacing w:before="38" w:line="401" w:lineRule="exact"/>
        <w:ind w:left="0" w:right="117" w:firstLine="0"/>
        <w:jc w:val="center"/>
        <w:rPr>
          <w:sz w:val="24"/>
        </w:rPr>
      </w:pPr>
      <w:r>
        <w:rPr>
          <w:rFonts w:hint="eastAsia"/>
          <w:lang w:val="zh-CN" w:eastAsia="zh-CN"/>
        </w:rPr>
        <w:tab/>
      </w:r>
      <w:r>
        <w:rPr>
          <w:rFonts w:hint="eastAsia"/>
          <w:lang w:val="en-US" w:eastAsia="zh-CN"/>
        </w:rPr>
        <w:t xml:space="preserve">                                                                                                                                       </w:t>
      </w:r>
      <w:r>
        <w:rPr>
          <w:rFonts w:hint="eastAsia"/>
          <w:sz w:val="24"/>
          <w:lang w:val="en-US" w:eastAsia="zh-CN"/>
        </w:rPr>
        <w:t xml:space="preserve">   福建省新能源科技产业促进会秘书处制</w:t>
      </w:r>
    </w:p>
    <w:p>
      <w:pPr>
        <w:spacing w:before="0" w:line="401" w:lineRule="exact"/>
        <w:ind w:left="0" w:right="111" w:firstLine="0"/>
        <w:jc w:val="center"/>
        <w:rPr>
          <w:rFonts w:hint="default"/>
          <w:sz w:val="24"/>
          <w:lang w:val="en-US"/>
        </w:rPr>
      </w:pPr>
      <w:r>
        <w:rPr>
          <w:rFonts w:hint="eastAsia"/>
          <w:spacing w:val="-1"/>
          <w:sz w:val="24"/>
          <w:lang w:val="en-US" w:eastAsia="zh-CN"/>
        </w:rPr>
        <w:t xml:space="preserve">                                                                                                                                               2020年9月</w:t>
      </w:r>
      <w:r>
        <w:rPr>
          <w:rFonts w:hint="eastAsia"/>
          <w:sz w:val="24"/>
          <w:lang w:val="en-US" w:eastAsia="zh-CN"/>
        </w:rPr>
        <w:t xml:space="preserve">                                            </w:t>
      </w:r>
    </w:p>
    <w:sectPr>
      <w:pgSz w:w="16840" w:h="11910" w:orient="landscape"/>
      <w:pgMar w:top="1100" w:right="1320" w:bottom="1220" w:left="1080" w:header="0" w:footer="1033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b w:val="0"/>
        <w:sz w:val="20"/>
      </w:rPr>
    </w:pPr>
    <w:r>
      <mc:AlternateContent>
        <mc:Choice Requires="wps">
          <w:drawing>
            <wp:anchor distT="0" distB="0" distL="114300" distR="114300" simplePos="0" relativeHeight="250977280" behindDoc="1" locked="0" layoutInCell="1" allowOverlap="1">
              <wp:simplePos x="0" y="0"/>
              <wp:positionH relativeFrom="page">
                <wp:posOffset>5268595</wp:posOffset>
              </wp:positionH>
              <wp:positionV relativeFrom="page">
                <wp:posOffset>6713220</wp:posOffset>
              </wp:positionV>
              <wp:extent cx="153670" cy="22796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670" cy="227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45" w:lineRule="exact"/>
                            <w:ind w:left="40" w:right="0" w:firstLine="0"/>
                            <w:jc w:val="left"/>
                            <w:rPr>
                              <w:rFonts w:ascii="Calibri"/>
                              <w:b/>
                              <w:sz w:val="32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b/>
                              <w:w w:val="99"/>
                              <w:sz w:val="3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14.85pt;margin-top:528.6pt;height:17.95pt;width:12.1pt;mso-position-horizontal-relative:page;mso-position-vertical-relative:page;z-index:-252339200;mso-width-relative:page;mso-height-relative:page;" filled="f" stroked="f" coordsize="21600,21600" o:gfxdata="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HJYQpdsAAAANAQAADwAAAAAA&#10;AAABACAAAAAiAAAAZHJzL2Rvd25yZXYueG1sUEsBAhQAFAAAAAgAh07iQJAPOoaeAQAAIwMAAA4A&#10;AAAAAAAAAQAgAAAAKgEAAGRycy9lMm9Eb2MueG1sUEsFBgAAAAAGAAYAWQEAADo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345" w:lineRule="exact"/>
                      <w:ind w:left="40" w:right="0" w:firstLine="0"/>
                      <w:jc w:val="left"/>
                      <w:rPr>
                        <w:rFonts w:ascii="Calibri"/>
                        <w:b/>
                        <w:sz w:val="32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b/>
                        <w:w w:val="99"/>
                        <w:sz w:val="32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396A3A"/>
    <w:rsid w:val="3D810B04"/>
    <w:rsid w:val="571128E6"/>
    <w:rsid w:val="648875F5"/>
    <w:rsid w:val="65315F1B"/>
    <w:rsid w:val="6FE358FE"/>
    <w:rsid w:val="7DC510E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微软雅黑" w:hAnsi="微软雅黑" w:eastAsia="微软雅黑" w:cs="微软雅黑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微软雅黑" w:hAnsi="微软雅黑" w:eastAsia="微软雅黑" w:cs="微软雅黑"/>
      <w:b/>
      <w:bCs/>
      <w:sz w:val="36"/>
      <w:szCs w:val="36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rFonts w:ascii="微软雅黑" w:hAnsi="微软雅黑" w:eastAsia="微软雅黑" w:cs="微软雅黑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1305</Words>
  <Characters>1517</Characters>
  <TotalTime>24</TotalTime>
  <ScaleCrop>false</ScaleCrop>
  <LinksUpToDate>false</LinksUpToDate>
  <CharactersWithSpaces>1913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2020-09-22T09:03:00Z</dcterms:created>
  <dc:creator>:）</dc:creator>
  <cp:lastModifiedBy>Administrator</cp:lastModifiedBy>
  <cp:lastPrinted>2020-09-25T02:43:30Z</cp:lastPrinted>
  <dcterms:modified xsi:type="dcterms:W3CDTF">2020-09-25T03:09:36Z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2020-08-14T00:00:00Z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2020-09-22T00:00:00Z</vt:filetime>
  </property>
  <property fmtid="{D5CDD505-2E9C-101B-9397-08002B2CF9AE}" pid="5" name="KSOProductBuildVer">
    <vt:lpwstr>2052-11.1.0.9999</vt:lpwstr>
  </property>
</Properties>
</file>